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119f.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119f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bookmarkStart w:id="249" w:name="_GoBack"/>
      <w:bookmarkEnd w:id="249"/>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_Toc18883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_Toc18883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_Toc24197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_Toc24197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_Toc492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_Toc492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_Toc22091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_Toc22091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_Toc15835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_Toc15835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_Toc25755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_Toc28182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_Toc28182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_Toc3670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_Toc20378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_Toc20378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_Toc4740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_Toc4740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_Toc1232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_Toc27368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_Toc15038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_Toc15063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_Toc15063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_Toc11898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_Toc11898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_Toc8267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_Toc8267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_Toc9957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_Toc9957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_Toc6964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_Toc6964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_Toc13973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_Toc13973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_Toc32526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_Toc32526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_Toc23059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_Toc23059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_Toc8888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_Toc8888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_Toc17991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_Toc17991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_Toc17028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_Toc31536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_Toc31536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_Toc18571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_Toc18571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_Toc28377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_Toc28377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_Toc28483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_Toc28483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_Toc25736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_Toc25736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_Toc29267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_Toc29267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_Toc17464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_Toc17464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_Toc16805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_Toc1609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_Toc1609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_Toc27325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_Toc27325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_Toc11338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_Toc22793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_Toc22793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_Toc26619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_Toc26619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_Toc24906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_Toc24906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_Toc26260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_Toc24637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_Toc24637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_Toc8769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_Toc8769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_Toc11405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_Toc2858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_Toc2858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_Toc15555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_Toc15555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_Toc31303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_Toc31303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_Toc20667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_Toc20667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_Toc18038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_Toc18038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_Toc20313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_Toc20313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_Toc12235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_Toc12235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_Toc11384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_Toc11384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_Toc5415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_Toc5415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_Toc6482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_Toc6482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_Toc17787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_Toc17787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_Toc2240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_Toc24843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_Toc24843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_Toc17487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_Toc17487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_Toc18389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_Toc18389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_Toc22470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_Toc22470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_Toc26071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_Toc26071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_Toc18526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_Toc18526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_Toc14061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_Toc14061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_Toc26853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_Toc26853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_Toc19836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_Toc19836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_Toc20740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_Toc20740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_Toc385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_Toc385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_Toc13516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_Toc13516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_Toc9419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_Toc9419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_Toc23186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_Toc23186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_Toc18280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_Toc18280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_Toc8957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_Toc8957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_Toc8285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_Toc8285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_Toc22365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_Toc22365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_Toc28314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_Toc28314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_Toc12862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_Toc12862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_Toc26156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_Toc22078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_Toc22078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_Toc32181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_Toc32181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_Toc10011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_Toc10011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_Toc12313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_Toc12313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_Toc14608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_Toc14608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_Toc1659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_Toc1659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_Toc19042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_Toc19042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_Toc32360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_Toc32360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_Toc31542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_Toc31542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_Toc8273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_Toc14245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_Toc14245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_Toc23103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_Toc23103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_Toc2066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_Toc23939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_Toc23939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_Toc331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_Toc17107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_Toc17107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_Toc26758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_Toc26758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_Toc5027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_Toc5027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_Toc29292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_Toc24810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_Toc21708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_Toc5408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_Toc1275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_Toc16465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_Toc1154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_Toc27248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_Toc26132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_Toc26132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_Toc7875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_Toc11401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_Toc30579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_Toc14442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_Toc12942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_Toc15210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_Toc14841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_Toc31413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_Toc26951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_Toc1171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_Toc18477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_Toc24194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_Toc18742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_Toc22920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_Toc24760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_Toc2055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_Toc22098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_Toc22098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_Toc232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_Toc21055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_Toc21055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_Toc27977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_Toc27977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_Toc22526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_Toc22526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_Toc3887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_Toc3887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_Toc5609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_Toc5609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_Toc17647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_Toc17647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_Toc795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_Toc795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_Toc5537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_Toc5537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_Toc28550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_Toc28550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_Toc25042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_Toc25042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_Toc23104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_Toc23104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_Toc3193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_Toc3193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_Toc542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_Toc542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_Toc12332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_Toc12332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_Toc25732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_Toc25732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_Toc13460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_Toc13460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_Toc7803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_Toc7803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_Toc22559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_Toc22559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_Toc25604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_Toc25604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_Toc500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_Toc500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_Toc429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_Toc429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_Toc28716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_Toc28716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_Toc7265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_Toc7265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_Toc5695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_Toc5695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_Toc9092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_Toc16316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_Toc16316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_Toc10560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_Toc10560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_Toc19262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_Toc19262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_Toc5401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_Toc5401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_Toc4507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_Toc4507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_Toc25800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_Toc25800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_Toc19806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_Toc19806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_Toc27505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_Toc27505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_Toc7115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_Toc7115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_Toc11148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_Toc11148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_Toc6926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_Toc6926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_Toc11435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_Toc11435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_Toc25115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_Toc25115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_Toc8933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_Toc8933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_Toc7528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_Toc7528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_Toc5805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_Toc5805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_Toc21032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_Toc21032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_Toc17608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_Toc17608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_Toc27872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_Toc27872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_Toc26395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_Toc26395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_Toc2452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_Toc2452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_Toc29853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_Toc29853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_Toc27217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_Toc27217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_Toc6713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_Toc6713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_Toc30502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_Toc30502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_Toc31588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_Toc31588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_Toc15048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_Toc15048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_Toc174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_Toc10616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_Toc10616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_Toc27548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_Toc11227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_Toc11227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_Toc25224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_Toc25224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_Toc30191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_Toc30191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_Toc31843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_Toc12861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_Toc12861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_Toc21377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_Toc21377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_Toc3056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_Toc8158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_Toc8158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_Toc13967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_Toc13967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_Toc18513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_Toc18513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_Toc22747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_Toc22747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_Toc9336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_Toc24163 </w:instrText>
      </w:r>
      <w:r>
        <w:rPr>
          <w:bCs w:val="0"/>
          <w:szCs w:val="20"/>
        </w:rPr>
        <w:fldChar w:fldCharType="separate"/>
      </w:r>
      <w:r>
        <w:rPr>
          <w:rFonts w:hint="default"/>
          <w:lang w:val="en-US" w:eastAsia="pt-BR"/>
        </w:rPr>
        <w:t>2.4.3.2. JaCoCo</w:t>
      </w:r>
      <w:r>
        <w:tab/>
      </w:r>
      <w:r>
        <w:fldChar w:fldCharType="begin"/>
      </w:r>
      <w:r>
        <w:instrText xml:space="preserve"> PAGEREF _Toc24163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_Toc23822 </w:instrText>
      </w:r>
      <w:r>
        <w:rPr>
          <w:bCs w:val="0"/>
          <w:szCs w:val="20"/>
        </w:rPr>
        <w:fldChar w:fldCharType="separate"/>
      </w:r>
      <w:r>
        <w:rPr>
          <w:rFonts w:hint="default"/>
          <w:lang w:val="en-US" w:eastAsia="pt-BR"/>
        </w:rPr>
        <w:t>2.4.3.3. SonarQube</w:t>
      </w:r>
      <w:r>
        <w:tab/>
      </w:r>
      <w:r>
        <w:fldChar w:fldCharType="begin"/>
      </w:r>
      <w:r>
        <w:instrText xml:space="preserve"> PAGEREF _Toc23822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_Toc5045 </w:instrText>
      </w:r>
      <w:r>
        <w:rPr>
          <w:bCs w:val="0"/>
          <w:szCs w:val="20"/>
        </w:rPr>
        <w:fldChar w:fldCharType="separate"/>
      </w:r>
      <w:r>
        <w:rPr>
          <w:rFonts w:hint="default"/>
          <w:lang w:val="en-US" w:eastAsia="pt-BR"/>
        </w:rPr>
        <w:t>2.4.3.4. PostMan</w:t>
      </w:r>
      <w:r>
        <w:tab/>
      </w:r>
      <w:r>
        <w:fldChar w:fldCharType="begin"/>
      </w:r>
      <w:r>
        <w:instrText xml:space="preserve"> PAGEREF _Toc5045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_Toc28663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_Toc28663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_Toc20988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_Toc20988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_Toc8510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_Toc8510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_Toc1272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_Toc1272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_Toc18777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_Toc18777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_Toc7493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_Toc7493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_Toc23622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_Toc23622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_Toc21798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_Toc22089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_Toc22089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_Toc10058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_Toc10058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_Toc12282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_Toc12282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_Toc30721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_Toc30721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_Toc14875 </w:instrText>
      </w:r>
      <w:r>
        <w:rPr>
          <w:bCs w:val="0"/>
          <w:szCs w:val="20"/>
        </w:rPr>
        <w:fldChar w:fldCharType="separate"/>
      </w:r>
      <w:r>
        <w:rPr>
          <w:rFonts w:hint="default"/>
          <w:lang w:val="pt-BR"/>
        </w:rPr>
        <w:t>3.4.1. Modelo de Entidade Relacionamento</w:t>
      </w:r>
      <w:r>
        <w:tab/>
      </w:r>
      <w:r>
        <w:fldChar w:fldCharType="begin"/>
      </w:r>
      <w:r>
        <w:instrText xml:space="preserve"> PAGEREF _Toc14875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_Toc9196 </w:instrText>
      </w:r>
      <w:r>
        <w:rPr>
          <w:bCs w:val="0"/>
          <w:szCs w:val="20"/>
        </w:rPr>
        <w:fldChar w:fldCharType="separate"/>
      </w:r>
      <w:r>
        <w:rPr>
          <w:rFonts w:hint="default"/>
          <w:lang w:val="pt-BR"/>
        </w:rPr>
        <w:t>3.4.2. Dicionário de Dados</w:t>
      </w:r>
      <w:r>
        <w:tab/>
      </w:r>
      <w:r>
        <w:fldChar w:fldCharType="begin"/>
      </w:r>
      <w:r>
        <w:instrText xml:space="preserve"> PAGEREF _Toc9196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_Toc6666 </w:instrText>
      </w:r>
      <w:r>
        <w:rPr>
          <w:bCs w:val="0"/>
          <w:szCs w:val="20"/>
        </w:rPr>
        <w:fldChar w:fldCharType="separate"/>
      </w:r>
      <w:r>
        <w:rPr>
          <w:rFonts w:hint="default"/>
          <w:lang w:val="pt-BR"/>
        </w:rPr>
        <w:t>3.4.3. Liquibase</w:t>
      </w:r>
      <w:r>
        <w:tab/>
      </w:r>
      <w:r>
        <w:fldChar w:fldCharType="begin"/>
      </w:r>
      <w:r>
        <w:instrText xml:space="preserve"> PAGEREF _Toc6666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_Toc4400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_Toc4400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_Toc681 </w:instrText>
      </w:r>
      <w:r>
        <w:rPr>
          <w:bCs w:val="0"/>
          <w:szCs w:val="20"/>
        </w:rPr>
        <w:fldChar w:fldCharType="separate"/>
      </w:r>
      <w:r>
        <w:rPr>
          <w:rFonts w:hint="default"/>
          <w:lang w:val="pt-BR"/>
        </w:rPr>
        <w:t>3.5.1. Visão Geral - Segurança</w:t>
      </w:r>
      <w:r>
        <w:tab/>
      </w:r>
      <w:r>
        <w:fldChar w:fldCharType="begin"/>
      </w:r>
      <w:r>
        <w:instrText xml:space="preserve"> PAGEREF _Toc681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_Toc16176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_Toc16176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_Toc21938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_Toc21938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_Toc28952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_Toc28952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_Toc30870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_Toc30870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_Toc12734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_Toc12734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_Toc16719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_Toc16719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_Toc9133 </w:instrText>
      </w:r>
      <w:r>
        <w:rPr>
          <w:bCs w:val="0"/>
          <w:szCs w:val="20"/>
        </w:rPr>
        <w:fldChar w:fldCharType="separate"/>
      </w:r>
      <w:r>
        <w:rPr>
          <w:rFonts w:hint="default"/>
          <w:lang w:val="pt-BR"/>
        </w:rPr>
        <w:t>4.2.1. Testes de Unidade</w:t>
      </w:r>
      <w:r>
        <w:tab/>
      </w:r>
      <w:r>
        <w:fldChar w:fldCharType="begin"/>
      </w:r>
      <w:r>
        <w:instrText xml:space="preserve"> PAGEREF _Toc9133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_Toc26190 </w:instrText>
      </w:r>
      <w:r>
        <w:rPr>
          <w:bCs w:val="0"/>
          <w:szCs w:val="20"/>
        </w:rPr>
        <w:fldChar w:fldCharType="separate"/>
      </w:r>
      <w:r>
        <w:rPr>
          <w:rFonts w:hint="default"/>
          <w:lang w:val="pt-BR"/>
        </w:rPr>
        <w:t>4.2.2. Testes de Recursos Externos</w:t>
      </w:r>
      <w:r>
        <w:tab/>
      </w:r>
      <w:r>
        <w:fldChar w:fldCharType="begin"/>
      </w:r>
      <w:r>
        <w:instrText xml:space="preserve"> PAGEREF _Toc26190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_Toc15881 </w:instrText>
      </w:r>
      <w:r>
        <w:rPr>
          <w:bCs w:val="0"/>
          <w:szCs w:val="20"/>
        </w:rPr>
        <w:fldChar w:fldCharType="separate"/>
      </w:r>
      <w:r>
        <w:rPr>
          <w:rFonts w:hint="default"/>
          <w:lang w:val="pt-BR"/>
        </w:rPr>
        <w:t>4.2.3. Teste Funcional de API</w:t>
      </w:r>
      <w:r>
        <w:tab/>
      </w:r>
      <w:r>
        <w:fldChar w:fldCharType="begin"/>
      </w:r>
      <w:r>
        <w:instrText xml:space="preserve"> PAGEREF _Toc15881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_Toc24968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_Toc24968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_Toc25448 </w:instrText>
      </w:r>
      <w:r>
        <w:rPr>
          <w:bCs w:val="0"/>
          <w:szCs w:val="20"/>
        </w:rPr>
        <w:fldChar w:fldCharType="separate"/>
      </w:r>
      <w:r>
        <w:rPr>
          <w:rFonts w:hint="default"/>
          <w:lang w:val="pt-BR"/>
        </w:rPr>
        <w:t>4.3.1. Caso de Testes 1 - Cidade de Caçapava</w:t>
      </w:r>
      <w:r>
        <w:tab/>
      </w:r>
      <w:r>
        <w:fldChar w:fldCharType="begin"/>
      </w:r>
      <w:r>
        <w:instrText xml:space="preserve"> PAGEREF _Toc25448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_Toc4957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_Toc4957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_Toc12980 </w:instrText>
      </w:r>
      <w:r>
        <w:rPr>
          <w:bCs w:val="0"/>
          <w:szCs w:val="20"/>
        </w:rPr>
        <w:fldChar w:fldCharType="separate"/>
      </w:r>
      <w:r>
        <w:rPr>
          <w:rFonts w:hint="default"/>
          <w:lang w:val="pt-BR"/>
        </w:rPr>
        <w:t>4.3.3. Caso de Testes 3 - Cidade de Taubaté</w:t>
      </w:r>
      <w:r>
        <w:tab/>
      </w:r>
      <w:r>
        <w:fldChar w:fldCharType="begin"/>
      </w:r>
      <w:r>
        <w:instrText xml:space="preserve"> PAGEREF _Toc12980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_Toc5947 </w:instrText>
      </w:r>
      <w:r>
        <w:rPr>
          <w:bCs w:val="0"/>
          <w:szCs w:val="20"/>
        </w:rPr>
        <w:fldChar w:fldCharType="separate"/>
      </w:r>
      <w:r>
        <w:rPr>
          <w:rFonts w:hint="default"/>
          <w:lang w:val="pt-BR"/>
        </w:rPr>
        <w:t>4.3.4. Caso de Testes 4 - Cidade de Jacareí</w:t>
      </w:r>
      <w:r>
        <w:tab/>
      </w:r>
      <w:r>
        <w:fldChar w:fldCharType="begin"/>
      </w:r>
      <w:r>
        <w:instrText xml:space="preserve"> PAGEREF _Toc5947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_Toc29041 </w:instrText>
      </w:r>
      <w:r>
        <w:rPr>
          <w:bCs w:val="0"/>
          <w:szCs w:val="20"/>
        </w:rPr>
        <w:fldChar w:fldCharType="separate"/>
      </w:r>
      <w:r>
        <w:rPr>
          <w:rFonts w:hint="default"/>
          <w:lang w:val="pt-BR"/>
        </w:rPr>
        <w:t>4.3.5. Caso de Testes 5 - Cidade de Caraguatatuba</w:t>
      </w:r>
      <w:r>
        <w:tab/>
      </w:r>
      <w:r>
        <w:fldChar w:fldCharType="begin"/>
      </w:r>
      <w:r>
        <w:instrText xml:space="preserve"> PAGEREF _Toc29041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_Toc7460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_Toc7460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_Toc13816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_Toc13816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_Toc30433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_Toc30433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_Toc13414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_Toc13414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_Toc21450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_Toc21450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_Toc9136 </w:instrText>
      </w:r>
      <w:r>
        <w:rPr>
          <w:bCs w:val="0"/>
          <w:szCs w:val="20"/>
        </w:rPr>
        <w:fldChar w:fldCharType="separate"/>
      </w:r>
      <w:r>
        <w:rPr>
          <w:caps w:val="0"/>
          <w:szCs w:val="28"/>
        </w:rPr>
        <w:t>REFERÊNCIAS BIBLIOGRÁFICAS</w:t>
      </w:r>
      <w:r>
        <w:tab/>
      </w:r>
      <w:r>
        <w:fldChar w:fldCharType="begin"/>
      </w:r>
      <w:r>
        <w:instrText xml:space="preserve"> PAGEREF _Toc9136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7505"/>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w:t>
      </w:r>
      <w:r>
        <w:rPr>
          <w:lang w:val="pt-BR"/>
        </w:rPr>
        <w:t xml:space="preserve">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8883"/>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 xml:space="preserve">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24197"/>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Machline (2011) através de uma visão integrada denominou no período entre os anos de 1970 a 2000 como a Era da Cadeia de Suprimentos, conforme </w:t>
      </w:r>
      <w:r>
        <w:rPr>
          <w:lang w:val="pt-BR"/>
        </w:rPr>
        <w:t>é apresentad</w:t>
      </w:r>
      <w:r>
        <w:rPr>
          <w:lang w:val="pt-BR"/>
        </w:rPr>
        <w:t>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492"/>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2091"/>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w:t>
      </w:r>
      <w:r>
        <w:rPr>
          <w:lang w:val="pt-BR"/>
        </w:rPr>
        <w:t>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w:t>
      </w:r>
      <w:r>
        <w:rPr>
          <w:lang w:val="pt-BR"/>
        </w:rPr>
        <w:t xml:space="preserve"> Centro de Estudos em Logística (CEL) / Instituto de Pós-Graduação e Pesquisa em Administração</w:t>
      </w:r>
      <w:r>
        <w:rPr>
          <w:lang w:val="pt-BR"/>
        </w:rPr>
        <w:t xml:space="preserve">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583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w:t>
      </w:r>
      <w:r>
        <w:rPr>
          <w:lang w:val="pt-BR"/>
        </w:rPr>
        <w:t>, o país conta com um programa de Investimento em Logística que visa criar uma infraestrutura intermodal mais integrada, promover concessões em rodovias a fim de proporcionar uma melhor infraestrutura</w:t>
      </w:r>
      <w:r>
        <w:rPr>
          <w:lang w:val="pt-BR"/>
        </w:rPr>
        <w:t>,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w:t>
      </w:r>
      <w:r>
        <w:rPr>
          <w:lang w:val="pt-BR"/>
        </w:rPr>
        <w:t>livro</w:t>
      </w:r>
      <w:r>
        <w:rPr>
          <w:lang w:val="pt-BR"/>
        </w:rPr>
        <w:t xml:space="preserve">,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estudo </w:t>
      </w:r>
      <w:r>
        <w:rPr>
          <w:lang w:val="pt-BR"/>
        </w:rPr>
        <w:t>desenvolvido e</w:t>
      </w:r>
      <w:r>
        <w:rPr>
          <w:lang w:val="pt-BR"/>
        </w:rPr>
        <w:t>ntre 2009 e 2011</w:t>
      </w:r>
      <w:r>
        <w:rPr>
          <w:lang w:val="pt-BR"/>
        </w:rPr>
        <w:t>, pela empresa ILOS (Instituto de Logística e Supply Chain)</w:t>
      </w:r>
      <w:r>
        <w:rPr>
          <w:lang w:val="pt-BR"/>
        </w:rPr>
        <w:t>,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575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com transporte dentro dos custos logísticos, conforme </w:t>
      </w:r>
      <w:r>
        <w:rPr>
          <w:lang w:val="pt-BR"/>
        </w:rPr>
        <w:t>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818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estudo realizado por Matos </w:t>
      </w:r>
      <w:r>
        <w:rPr>
          <w:lang w:val="pt-BR"/>
        </w:rPr>
        <w:t xml:space="preserve">Júnior (2013), a </w:t>
      </w:r>
      <w:r>
        <w:rPr>
          <w:lang w:val="pt-BR"/>
        </w:rPr>
        <w:t xml:space="preserve">roteirização foi capaz de reduzir as devoluções em média 1,57%, o que consequentemente reduz gastos operacionais dos veículos. Aumentou a taxa de ocupação em cerca de 7%, reduzindo o custo por quilo e na entrega conforme </w:t>
      </w:r>
      <w:r>
        <w:rPr>
          <w:lang w:val="pt-BR"/>
        </w:rPr>
        <w:t>apresentado na Tabela 1</w:t>
      </w:r>
      <w:r>
        <w:rPr>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393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(2013), foi evidenciado um aumento médio de 7.32% nas entregas realizadas com sucesso, gerando uma melhoria no desempenho operacional, conforme mostrado na </w:t>
      </w:r>
      <w:r>
        <w:rPr>
          <w:lang w:val="pt-BR"/>
        </w:rPr>
        <w:t xml:space="preserve">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33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r>
        <w:rPr>
          <w:lang w:val="pt-BR"/>
        </w:rPr>
        <w:t>.</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711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1148"/>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6926"/>
      <w:r>
        <w:rPr>
          <w:lang w:val="pt-BR"/>
        </w:rPr>
        <w:t xml:space="preserve">Objetivo do </w:t>
      </w:r>
      <w:bookmarkEnd w:id="16"/>
      <w:r>
        <w:rPr>
          <w:lang w:val="pt-BR"/>
        </w:rPr>
        <w:t>Geral</w:t>
      </w:r>
      <w:bookmarkEnd w:id="17"/>
      <w:bookmarkEnd w:id="18"/>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objetivo geral deste trabalho é desenvolver </w:t>
      </w:r>
      <w:r>
        <w:rPr>
          <w:lang w:val="pt-BR"/>
        </w:rPr>
        <w:t xml:space="preserve">um Software,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1435"/>
      <w:bookmarkStart w:id="23" w:name="_Toc118654380"/>
      <w:r>
        <w:rPr>
          <w:lang w:val="pt-BR"/>
        </w:rPr>
        <w:t>Objetivo</w:t>
      </w:r>
      <w:r>
        <w:rPr>
          <w:lang w:val="pt-BR"/>
        </w:rPr>
        <w:t xml:space="preserve">s </w:t>
      </w:r>
      <w:r>
        <w:rPr>
          <w:lang w:val="pt-BR"/>
        </w:rPr>
        <w:t>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25115"/>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w:t>
      </w:r>
      <w:r>
        <w:rPr>
          <w:lang w:val="pt-BR"/>
        </w:rPr>
        <w:t>,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 empresa</w:t>
      </w:r>
      <w:r>
        <w:rPr>
          <w:lang w:val="pt-BR"/>
        </w:rPr>
        <w:t xml:space="preserve">s </w:t>
      </w:r>
      <w:r>
        <w:rPr>
          <w:lang w:val="pt-BR"/>
        </w:rPr>
        <w:t>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Na pesquisa </w:t>
      </w:r>
      <w:r>
        <w:rPr>
          <w:lang w:val="pt-BR"/>
        </w:rPr>
        <w:t>exploratória fo</w:t>
      </w:r>
      <w:r>
        <w:rPr>
          <w:lang w:val="pt-BR"/>
        </w:rPr>
        <w:t>i lido diversos artigos sobre roteirização, trechos de livros de autores como</w:t>
      </w:r>
      <w:r>
        <w:rPr>
          <w:lang w:val="pt-BR"/>
        </w:rPr>
        <w:t xml:space="preserve">: Paulo F. Fleury, Sunil Chopra e Peter Meindl. Autores estes sempre utilizados como referência, em estudos do Setor Logístico. Outro </w:t>
      </w:r>
      <w:r>
        <w:rPr>
          <w:lang w:val="pt-BR"/>
        </w:rPr>
        <w:t>aspecto analisado, foi de artigos</w:t>
      </w:r>
      <w:r>
        <w:rPr>
          <w:lang w:val="pt-BR"/>
        </w:rPr>
        <w:t xml:space="preserve"> e de estudos que comprovam o interesse das empresas em reduzir seus custos com operações logísticas</w:t>
      </w:r>
      <w:r>
        <w:rPr>
          <w:lang w:val="pt-BR"/>
        </w:rPr>
        <w:t xml:space="preserve">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que compreende ao levantamento de requisitos, utilizar-se-á de User Stories</w:t>
      </w:r>
      <w:r>
        <w:rPr>
          <w:lang w:val="pt-BR"/>
        </w:rPr>
        <w:t xml:space="preserve">,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w:t>
      </w:r>
      <w:r>
        <w:rPr>
          <w:lang w:val="pt-BR"/>
        </w:rPr>
        <w:t>.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realizar-se-á por meio de duas etapas. Na primeira, desenvolver-se-á o back-end </w:t>
      </w:r>
      <w:r>
        <w:rPr>
          <w:lang w:val="pt-BR"/>
        </w:rPr>
        <w:t>do projeto, que compreende toda a camada que disponibiliza os serviços para gestão dos cadastros, criação de rotas e consulta de ceps.</w:t>
      </w:r>
      <w:r>
        <w:rPr>
          <w:lang w:val="pt-BR"/>
        </w:rPr>
        <w:t xml:space="preserve"> A segunda etapa responsabilizar-se-á pelo desenvolvimento do front-end </w:t>
      </w:r>
      <w:r>
        <w:rPr>
          <w:lang w:val="pt-BR"/>
        </w:rPr>
        <w:t>do projeto, que é a Interface Web</w:t>
      </w:r>
      <w:r>
        <w:rPr>
          <w:lang w:val="pt-BR"/>
        </w:rPr>
        <w:t xml:space="preserve"> e também Mobile</w:t>
      </w:r>
      <w:r>
        <w:rPr>
          <w:lang w:val="pt-BR"/>
        </w:rPr>
        <w:t>,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w:t>
      </w:r>
      <w:r>
        <w:rPr>
          <w:lang w:val="pt-BR"/>
        </w:rPr>
        <w:t xml:space="preserve">, analisando o tempo que uma empresa economizará utilizando o aplicativo </w:t>
      </w:r>
      <w:r>
        <w:rPr>
          <w:lang w:val="pt-BR"/>
        </w:rPr>
        <w:t>SysRLog, para definir uma rota de entregas</w:t>
      </w:r>
      <w:r>
        <w:rPr>
          <w:lang w:val="pt-BR"/>
        </w:rPr>
        <w:t xml:space="preserve"> otimizada, em relação </w:t>
      </w:r>
      <w:r>
        <w:rPr>
          <w:lang w:val="pt-BR"/>
        </w:rPr>
        <w:t>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893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presente trabalho está estruturado em </w:t>
      </w:r>
      <w:r>
        <w:rPr>
          <w:lang w:val="pt-BR"/>
        </w:rPr>
        <w:t>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w:t>
      </w:r>
      <w:r>
        <w:rPr>
          <w:lang w:val="pt-BR"/>
        </w:rPr>
        <w:t>apresentada</w:t>
      </w:r>
      <w:r>
        <w:rPr>
          <w:lang w:val="pt-BR"/>
        </w:rPr>
        <w:t xml:space="preserve"> a etapa de </w:t>
      </w:r>
      <w:r>
        <w:rPr>
          <w:lang w:val="pt-BR"/>
        </w:rPr>
        <w:t xml:space="preserve">engenharia de requisitos, </w:t>
      </w:r>
      <w:r>
        <w:rPr>
          <w:lang w:val="pt-BR"/>
        </w:rPr>
        <w:t>apresentando as User Stories</w:t>
      </w:r>
      <w:r>
        <w:rPr>
          <w:lang w:val="pt-BR"/>
        </w:rPr>
        <w:t xml:space="preserve">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Capítulo 3 </w:t>
      </w:r>
      <w:r>
        <w:rPr>
          <w:lang w:val="pt-BR"/>
        </w:rPr>
        <w:t>compreende o Desenvolvimento do Trabalho, sendo composto por: Arquitetura</w:t>
      </w:r>
      <w:r>
        <w:rPr>
          <w:lang w:val="pt-BR"/>
        </w:rPr>
        <w:t xml:space="preserve"> da Solução, Modelagem e Gestão dos Dados, Arquitetura do Software, </w:t>
      </w:r>
      <w:r>
        <w:rPr>
          <w:lang w:val="pt-BR"/>
        </w:rPr>
        <w:t>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w:t>
      </w:r>
      <w:r>
        <w:rPr>
          <w:lang w:val="pt-BR"/>
        </w:rPr>
        <w:t xml:space="preserve">4 serão apresentadas as experimentações e </w:t>
      </w:r>
      <w:r>
        <w:rPr>
          <w:lang w:val="pt-BR"/>
        </w:rPr>
        <w:t>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 xml:space="preserve">Finalmente, o Capítulo </w:t>
      </w:r>
      <w:r>
        <w:rPr>
          <w:lang w:val="pt-BR"/>
        </w:rPr>
        <w:t>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528"/>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580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w:t>
      </w:r>
      <w:r>
        <w:rPr>
          <w:lang w:val="pt-BR"/>
        </w:rPr>
        <w:t>.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1032"/>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7107"/>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7608"/>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6758"/>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pt-BR"/>
        </w:rPr>
      </w:pPr>
      <w:bookmarkStart w:id="33" w:name="_Toc27872"/>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w:t>
      </w:r>
      <w:r>
        <w:rPr>
          <w:lang w:val="pt-BR"/>
        </w:rPr>
        <w:t>,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502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w:t>
      </w:r>
      <w:r>
        <w:rPr>
          <w:lang w:val="pt-BR"/>
        </w:rPr>
        <w:t xml:space="preserve"> puderam ser criadas. As Tabelas de 6 a 32 apresentam as User Stories definidas para o desenvolvimento do Projeto</w:t>
      </w:r>
      <w:r>
        <w:rPr>
          <w:lang w:val="pt-BR"/>
        </w:rPr>
        <w:t>.</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92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8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1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54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24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61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78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1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3057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4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9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52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14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9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7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847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241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87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292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0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6395"/>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67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378"/>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2452"/>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w:t>
      </w:r>
      <w:r>
        <w:rPr>
          <w:lang w:val="pt-BR"/>
        </w:rPr>
        <w:t xml:space="preserve"> elencadas anteriormente, faz-se necessário a seleção de tecnologias a serem utilizadas para o desenvolvimento do Software</w:t>
      </w:r>
      <w:r>
        <w:rPr>
          <w:lang w:val="pt-BR"/>
        </w:rPr>
        <w:t>.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6" w:name="_Toc29853"/>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7" w:name="_Toc27217"/>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8" w:name="_Toc6713"/>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9" w:name="_Toc30502"/>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0" w:name="_Toc3158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eastAsia="Arial Unicode MS" w:cs="Times New Roman"/>
          <w:b w:val="0"/>
          <w:bCs w:val="0"/>
          <w:i w:val="0"/>
          <w:iCs w:val="0"/>
          <w:color w:val="000000"/>
          <w:sz w:val="24"/>
          <w:szCs w:val="24"/>
          <w:lang w:val="en-US" w:eastAsia="pt-BR" w:bidi="ar-SA"/>
        </w:rPr>
      </w:pPr>
      <w:r>
        <w:rPr>
          <w:rFonts w:hint="default"/>
          <w:lang w:val="en-US" w:eastAsia="pt-BR"/>
        </w:rPr>
        <w:t>Informações detalhadas ou de outros Projects do Spring podem ser encontrados no seu próprio site, que também apresenta toda a documentação de cada uma dos Projects.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1" w:name="_Toc15048"/>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2" w:name="_Toc17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3" w:name="_Toc1061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eastAsia="pt-BR"/>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4" w:name="_Toc27548"/>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5" w:name="_Toc11227"/>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ViaCep é um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 xml:space="preserve">gratuito para consulta de ceps. As requisições são feitas pelo Protocolo HTTP. Ao efetuar uma requisição o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6" w:name="_Toc25224"/>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7" w:name="_Toc3019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8" w:name="_Toc3184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lang w:val="pt-BR"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9" w:name="_Toc1286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0" w:name="_Toc21377"/>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1" w:name="_Toc305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2" w:name="_Toc8158"/>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3" w:name="_Toc13967"/>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4" w:name="_Toc1851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5" w:name="_Toc22747"/>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6" w:name="_Toc93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7" w:name="_Toc2416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8" w:name="_Toc23822"/>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9" w:name="_Toc5045"/>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90" w:name="_Toc28663"/>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474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23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0988"/>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851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16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2736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1272"/>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503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firstLine="300" w:firstLineChars="125"/>
        <w:jc w:val="both"/>
        <w:textAlignment w:val="auto"/>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18777"/>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5063"/>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7493"/>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189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23622"/>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2179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267"/>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2208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9957"/>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964"/>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397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32526"/>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i w:val="0"/>
          <w:iCs w:val="0"/>
          <w:lang w:val="pt-BR"/>
        </w:rPr>
      </w:pPr>
      <w:bookmarkStart w:id="115" w:name="_Toc10058"/>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3059"/>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88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799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702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3153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8571"/>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8377"/>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12282"/>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8483"/>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25736"/>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9267"/>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464"/>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6805"/>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609"/>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27325"/>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133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2279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t>.</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30721"/>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14875"/>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26619"/>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9196"/>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2209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32"/>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21055"/>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27977"/>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2526"/>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3887"/>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5609"/>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17647"/>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795"/>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5537"/>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28550"/>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5042"/>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ind w:left="0" w:leftChars="0" w:firstLine="0" w:firstLineChars="0"/>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3104"/>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193"/>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542"/>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12332"/>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732"/>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346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7803"/>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6666"/>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4906"/>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6260"/>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4637"/>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4400"/>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8769"/>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1405"/>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85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5555"/>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303"/>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20667"/>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8038"/>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68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0313"/>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12235"/>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16176"/>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138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5415"/>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6482"/>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7787"/>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24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4843"/>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17487"/>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8389"/>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2470"/>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6071"/>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18526"/>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4061"/>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6853"/>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1983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20740"/>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385"/>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3516"/>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9419"/>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21938"/>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28952"/>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2559"/>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30870"/>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3186"/>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1828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8957"/>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2734"/>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828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236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6719"/>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133"/>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28314"/>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26190"/>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12862"/>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615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5881"/>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2078"/>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2496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25604"/>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32181"/>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10011"/>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500"/>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2544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429"/>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alt="" type="#_x0000_t75" style="height:294.15pt;width:438.9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2313"/>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14608"/>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28716"/>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4957"/>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7265"/>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659"/>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904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5695"/>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12980"/>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90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3236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31542"/>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16316"/>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5947"/>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0560"/>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827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14245"/>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9262"/>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29041"/>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5401"/>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03"/>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206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4507"/>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b/>
          <w:bCs/>
          <w:sz w:val="24"/>
          <w:szCs w:val="24"/>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7460"/>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5800"/>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19806"/>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13816"/>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30433"/>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13414"/>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21450"/>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9136"/>
      <w:r>
        <w:rPr>
          <w:caps w:val="0"/>
          <w:sz w:val="28"/>
          <w:szCs w:val="28"/>
        </w:rPr>
        <w:t>REFERÊNCIAS BIBLIOGRÁFICAS</w:t>
      </w:r>
      <w:bookmarkEnd w:id="107"/>
      <w:bookmarkEnd w:id="246"/>
      <w:bookmarkEnd w:id="247"/>
      <w:bookmarkEnd w:id="248"/>
    </w:p>
    <w:p>
      <w:pPr>
        <w:pStyle w:val="13"/>
        <w:spacing w:after="120" w:line="240" w:lineRule="auto"/>
        <w:rPr>
          <w:rFonts w:hint="default" w:ascii="Times New Roman" w:hAnsi="Times New Roman" w:cs="Times New Roman"/>
        </w:rPr>
      </w:pPr>
      <w:r>
        <w:rPr>
          <w:rFonts w:hint="default" w:ascii="Times New Roman" w:hAnsi="Times New Roman" w:cs="Times New Roman"/>
          <w:b/>
        </w:rPr>
        <w:t>A MELHOR de cada Segmento</w:t>
      </w:r>
      <w:r>
        <w:rPr>
          <w:rFonts w:hint="default" w:ascii="Times New Roman" w:hAnsi="Times New Roman" w:cs="Times New Roman"/>
        </w:rPr>
        <w:t>. Revista As Melhores do Transporte. Editora OTM, ano 14, no 14, novembro 2001.</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xml:space="preserve">. Disponível em:https://angularjs.org.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spacing w:after="120" w:line="240" w:lineRule="auto"/>
        <w:rPr>
          <w:rFonts w:hint="default" w:ascii="Times New Roman" w:hAnsi="Times New Roman" w:eastAsia="SimSun" w:cs="Times New Roman"/>
          <w:i w:val="0"/>
          <w:caps w:val="0"/>
          <w:color w:val="222222"/>
          <w:spacing w:val="0"/>
          <w:sz w:val="19"/>
          <w:szCs w:val="19"/>
          <w:shd w:val="clear" w:fill="FFFFFF"/>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i/>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jc w:val="both"/>
        <w:rPr>
          <w:rFonts w:hint="default" w:ascii="Times New Roman" w:hAnsi="Times New Roman" w:cs="Times New Roman"/>
        </w:rPr>
      </w:pPr>
    </w:p>
    <w:p>
      <w:pPr>
        <w:jc w:val="both"/>
        <w:rPr>
          <w:rFonts w:hint="default" w:ascii="Times New Roman" w:hAnsi="Times New Roman" w:cs="Times New Roman"/>
          <w:b w:val="0"/>
          <w:bCs w:val="0"/>
          <w:lang w:val="pt-BR"/>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shd w:val="clear" w:color="auto" w:fill="FFFFFF"/>
        <w:rPr>
          <w:rFonts w:hint="default" w:ascii="Times New Roman" w:hAnsi="Times New Roman" w:cs="Times New Roman"/>
          <w:sz w:val="22"/>
          <w:szCs w:val="22"/>
          <w:lang w:val="en-US"/>
        </w:rPr>
      </w:pPr>
    </w:p>
    <w:p>
      <w:pPr>
        <w:shd w:val="clear" w:color="auto" w:fill="FFFFFF"/>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MATOS JUNIOR, Carlos Alberto de et al.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bCs/>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p>
    <w:p>
      <w:pPr>
        <w:pStyle w:val="13"/>
        <w:spacing w:after="120" w:line="240" w:lineRule="auto"/>
        <w:rPr>
          <w:rFonts w:hint="default" w:ascii="Times New Roman" w:hAnsi="Times New Roman" w:cs="Times New Roman"/>
          <w:b w:val="0"/>
          <w:bCs w:val="0"/>
          <w:color w:val="auto"/>
          <w:u w:val="none"/>
          <w:lang w:val="pt-BR"/>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spacing w:after="120" w:line="240" w:lineRule="auto"/>
        <w:rPr>
          <w:rFonts w:hint="default" w:ascii="Times New Roman" w:hAnsi="Times New Roman" w:cs="Times New Roman"/>
        </w:rPr>
      </w:pPr>
    </w:p>
    <w:p>
      <w:pPr>
        <w:rPr>
          <w:rFonts w:hint="default" w:ascii="Times New Roman" w:hAnsi="Times New Roman" w:cs="Times New Roman"/>
          <w:lang w:val="pt-BR"/>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SONARCOURCE. Roadmap. Disponível em: https://www.sonarqube.org/roadmap/. Acesso em: 10/10/2018.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163317"/>
    <w:rsid w:val="15C848BE"/>
    <w:rsid w:val="16187A45"/>
    <w:rsid w:val="162F40E0"/>
    <w:rsid w:val="167278AF"/>
    <w:rsid w:val="1678584E"/>
    <w:rsid w:val="16864478"/>
    <w:rsid w:val="16877774"/>
    <w:rsid w:val="16A14445"/>
    <w:rsid w:val="16A30DCD"/>
    <w:rsid w:val="171762D0"/>
    <w:rsid w:val="174771D5"/>
    <w:rsid w:val="17F62633"/>
    <w:rsid w:val="19564F57"/>
    <w:rsid w:val="19874669"/>
    <w:rsid w:val="19DD6F9A"/>
    <w:rsid w:val="1A6D7A7A"/>
    <w:rsid w:val="1A771273"/>
    <w:rsid w:val="1AA85335"/>
    <w:rsid w:val="1AE9631F"/>
    <w:rsid w:val="1C144F3D"/>
    <w:rsid w:val="1C350CBA"/>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DE128D"/>
    <w:rsid w:val="22EF6C31"/>
    <w:rsid w:val="231766BA"/>
    <w:rsid w:val="231B1BCD"/>
    <w:rsid w:val="23360B8A"/>
    <w:rsid w:val="235F4133"/>
    <w:rsid w:val="236B6903"/>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EA5D3B"/>
    <w:rsid w:val="48F512B1"/>
    <w:rsid w:val="48F77EA3"/>
    <w:rsid w:val="492B0050"/>
    <w:rsid w:val="4952795F"/>
    <w:rsid w:val="49672FFB"/>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4C2C41"/>
    <w:rsid w:val="5F86032A"/>
    <w:rsid w:val="60300A4E"/>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9F3F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2018-12-02T15:46:58Z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